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2" w:rsidRDefault="006C3462">
      <w:pPr>
        <w:ind w:left="-57" w:right="-57"/>
        <w:jc w:val="center"/>
        <w:rPr>
          <w:rFonts w:ascii="Calibri" w:hAnsi="Calibri" w:cs="Calibri"/>
          <w:b/>
          <w:color w:val="44546A"/>
          <w:sz w:val="26"/>
          <w:szCs w:val="26"/>
        </w:rPr>
      </w:pPr>
    </w:p>
    <w:p w:rsidR="00E97F5E" w:rsidRDefault="00E97F5E">
      <w:pPr>
        <w:ind w:left="-57" w:right="-57"/>
        <w:jc w:val="center"/>
        <w:rPr>
          <w:rFonts w:ascii="Calibri" w:hAnsi="Calibri" w:cs="Calibri"/>
          <w:b/>
          <w:color w:val="44546A"/>
          <w:sz w:val="26"/>
          <w:szCs w:val="26"/>
        </w:rPr>
      </w:pPr>
    </w:p>
    <w:p w:rsidR="00135A3E" w:rsidRDefault="004248AA">
      <w:pPr>
        <w:ind w:left="-57" w:right="-57"/>
        <w:jc w:val="center"/>
        <w:rPr>
          <w:rFonts w:ascii="Calibri" w:hAnsi="Calibri" w:cs="Calibri"/>
          <w:b/>
          <w:color w:val="44546A"/>
          <w:sz w:val="26"/>
          <w:szCs w:val="26"/>
        </w:rPr>
      </w:pPr>
      <w:r>
        <w:rPr>
          <w:rFonts w:ascii="Calibri" w:hAnsi="Calibri" w:cs="Calibri"/>
          <w:b/>
          <w:color w:val="44546A"/>
          <w:sz w:val="26"/>
          <w:szCs w:val="26"/>
        </w:rPr>
        <w:t>Službeno predstavljen projekt “Povećanje kapaciteta za prevenciju, pripremu i odgovor na katastrofe”</w:t>
      </w:r>
    </w:p>
    <w:p w:rsidR="00135A3E" w:rsidRDefault="00135A3E">
      <w:pPr>
        <w:ind w:left="-57" w:right="-57"/>
        <w:jc w:val="both"/>
        <w:rPr>
          <w:rFonts w:ascii="Calibri" w:hAnsi="Calibri" w:cs="Calibri"/>
          <w:b/>
          <w:color w:val="4472C4"/>
          <w:sz w:val="23"/>
          <w:szCs w:val="23"/>
        </w:rPr>
      </w:pPr>
    </w:p>
    <w:p w:rsidR="00135A3E" w:rsidRDefault="00135A3E">
      <w:pPr>
        <w:ind w:left="-57" w:right="-57"/>
        <w:jc w:val="both"/>
        <w:rPr>
          <w:rFonts w:ascii="Calibri" w:hAnsi="Calibri" w:cs="Calibri"/>
          <w:color w:val="4472C4"/>
          <w:sz w:val="23"/>
          <w:szCs w:val="23"/>
        </w:rPr>
      </w:pP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 xml:space="preserve">U Herceg Novom je </w:t>
      </w:r>
      <w:r w:rsidR="000A080E" w:rsidRPr="00E97F5E">
        <w:rPr>
          <w:rFonts w:ascii="Calibri" w:hAnsi="Calibri" w:cs="Calibri"/>
          <w:color w:val="1F3864" w:themeColor="accent1" w:themeShade="80"/>
          <w:sz w:val="23"/>
          <w:szCs w:val="23"/>
        </w:rPr>
        <w:t>28.04.2022. godine</w:t>
      </w: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 xml:space="preserve"> održana službena prezentacija projekta </w:t>
      </w:r>
      <w:r w:rsidRPr="00E97F5E">
        <w:rPr>
          <w:rFonts w:ascii="Calibri" w:hAnsi="Calibri" w:cs="Calibri"/>
          <w:i/>
          <w:iCs/>
          <w:color w:val="1F3864" w:themeColor="accent1" w:themeShade="80"/>
          <w:sz w:val="23"/>
          <w:szCs w:val="23"/>
        </w:rPr>
        <w:t>„Povećanje kapaciteta za prevenciju, pripremu i odgovor na katastrofe – Otporna granica“,</w:t>
      </w: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 xml:space="preserve"> koji financira Europska unija u okviru prekograničnog programa Bosna i Hercegovina – Crna Gora (IPA II).</w:t>
      </w: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>Opći cilj ovog projekta bit</w:t>
      </w:r>
      <w:r w:rsidR="00246162">
        <w:rPr>
          <w:rFonts w:ascii="Calibri" w:hAnsi="Calibri" w:cs="Calibri"/>
          <w:color w:val="1F3864" w:themeColor="accent1" w:themeShade="80"/>
          <w:sz w:val="23"/>
          <w:szCs w:val="23"/>
        </w:rPr>
        <w:t>i</w:t>
      </w: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 xml:space="preserve"> će unapređenje sustava prevencije i upravljanja rizicima od katastrofa, kako bi se povećala otpornost na prirodne katastrofe i katastrofe uzrokovane ljudskim nemarom, kako u Zapadnohercegovačkoj županiji (BiH), tako i na području općine Herceg Novi u Crnoj Gori. Povezivanjem individualnih i institucionalnih kapaciteta te razmjenom iskustava, informacija i resursa značajno će se unaprijediti sustav upravljanja rizicima od katastrofa (prevencija, pripravnost i odgovor) na tom području.</w:t>
      </w: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>Projekt će se provoditi kroz niz aktivnosti: osnivanje radne skupine za provođenje procjene rizika od katastrofa i akcijskog plana, organizacija radionica za zajedničke mjere upravljanja rizicima, organizacija treninga za jačanje kapaciteta hitnih službi, izgradnja poligona za obuku u Grudama (BiH), organizacija promotivne kampanje i akcije vidljivosti, nabava opreme i dr.</w:t>
      </w: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  <w:r w:rsidRPr="00E97F5E">
        <w:rPr>
          <w:rFonts w:ascii="Calibri" w:hAnsi="Calibri" w:cs="Calibri"/>
          <w:color w:val="1F3864" w:themeColor="accent1" w:themeShade="80"/>
          <w:sz w:val="23"/>
          <w:szCs w:val="23"/>
        </w:rPr>
        <w:t xml:space="preserve">Planirane zajedničke aktivnosti rezultirati će donošenjem zajedničkog akcijskog plana, potpisivanjem memoranduma o suradnji 5 lokalnih zajednica na projektnom području, obukama i opremanjem ukupno 5 timova za krizne situacije koji će biti opremljeni sa najmanje 94 seta opreme i alata, i sa dva vozila. Također biti će poboljšana dva protupožarna sustava, i izgrađen i opremljen trening centar. Opsežnom promotivno/informativnom kampanjom bit će obuhvaćeno najmanje 10% lokalne populacije.  </w:t>
      </w: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</w:p>
    <w:p w:rsidR="009D05C5" w:rsidRPr="00E97F5E" w:rsidRDefault="009D05C5" w:rsidP="009D05C5">
      <w:pPr>
        <w:ind w:left="-57" w:right="-57"/>
        <w:jc w:val="both"/>
        <w:rPr>
          <w:rFonts w:ascii="Calibri" w:hAnsi="Calibri" w:cs="Calibri"/>
          <w:color w:val="1F3864" w:themeColor="accent1" w:themeShade="80"/>
          <w:sz w:val="23"/>
          <w:szCs w:val="23"/>
        </w:rPr>
      </w:pPr>
      <w:r w:rsidRPr="00E97F5E">
        <w:rPr>
          <w:rFonts w:ascii="Calibri" w:hAnsi="Calibri" w:cs="Calibri"/>
          <w:color w:val="1F3864" w:themeColor="accent1" w:themeShade="80"/>
          <w:sz w:val="23"/>
          <w:szCs w:val="23"/>
          <w:lang/>
        </w:rPr>
        <w:t>Ukupna vrijednost projekta je preko 586.000 EUR, od čega je Europska unija osigurala preko 84% bespovratnih sredstava. Preostali iznos sufinanciraju projektni partneri, Razvojna agencija Zapadnohercegovačke županije – HERAG (BiH), Uprava civilne zaštite Zapadnohercegovačke županije (BiH) i Općina Herceg Novi (Crna Gora). Provedba je započela u ožujku i trajat će 24 mjeseca.</w:t>
      </w:r>
    </w:p>
    <w:p w:rsidR="00135A3E" w:rsidRDefault="00135A3E">
      <w:pPr>
        <w:widowControl w:val="0"/>
        <w:autoSpaceDE w:val="0"/>
        <w:ind w:left="-57" w:right="-57"/>
        <w:jc w:val="both"/>
        <w:rPr>
          <w:rFonts w:ascii="Calibri" w:hAnsi="Calibri" w:cs="Calibri"/>
          <w:b/>
          <w:color w:val="44546A"/>
          <w:sz w:val="23"/>
          <w:szCs w:val="23"/>
        </w:rPr>
      </w:pPr>
    </w:p>
    <w:p w:rsidR="00135A3E" w:rsidRDefault="00135A3E">
      <w:pPr>
        <w:ind w:left="-57" w:right="-57"/>
        <w:rPr>
          <w:rFonts w:ascii="Calibri" w:hAnsi="Calibri" w:cs="Calibri"/>
          <w:color w:val="44546A"/>
          <w:sz w:val="23"/>
          <w:szCs w:val="23"/>
        </w:rPr>
      </w:pPr>
    </w:p>
    <w:sectPr w:rsidR="00135A3E" w:rsidSect="00DA0999">
      <w:headerReference w:type="default" r:id="rId6"/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0A0" w:rsidRDefault="000E00A0">
      <w:r>
        <w:separator/>
      </w:r>
    </w:p>
  </w:endnote>
  <w:endnote w:type="continuationSeparator" w:id="0">
    <w:p w:rsidR="000E00A0" w:rsidRDefault="000E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62" w:rsidRDefault="000A080E" w:rsidP="006C3462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517525</wp:posOffset>
          </wp:positionH>
          <wp:positionV relativeFrom="paragraph">
            <wp:posOffset>8255</wp:posOffset>
          </wp:positionV>
          <wp:extent cx="723900" cy="72390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3001645</wp:posOffset>
          </wp:positionH>
          <wp:positionV relativeFrom="paragraph">
            <wp:posOffset>4445</wp:posOffset>
          </wp:positionV>
          <wp:extent cx="631825" cy="633730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1447165</wp:posOffset>
          </wp:positionH>
          <wp:positionV relativeFrom="paragraph">
            <wp:posOffset>5080</wp:posOffset>
          </wp:positionV>
          <wp:extent cx="1219200" cy="704850"/>
          <wp:effectExtent l="0" t="0" r="0" b="0"/>
          <wp:wrapNone/>
          <wp:docPr id="7" name="Slika 7" descr="Novi grb i zastava Opštine Herceg Novi | Boka 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i zastava Opštine Herceg Novi | Boka New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3462"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4274185</wp:posOffset>
          </wp:positionH>
          <wp:positionV relativeFrom="paragraph">
            <wp:posOffset>58420</wp:posOffset>
          </wp:positionV>
          <wp:extent cx="792480" cy="548005"/>
          <wp:effectExtent l="0" t="0" r="7620" b="4445"/>
          <wp:wrapTight wrapText="bothSides">
            <wp:wrapPolygon edited="0">
              <wp:start x="0" y="0"/>
              <wp:lineTo x="0" y="21024"/>
              <wp:lineTo x="21288" y="21024"/>
              <wp:lineTo x="2128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C3462">
      <w:tab/>
      <w:t xml:space="preserve">                                                                                                     </w:t>
    </w:r>
  </w:p>
  <w:p w:rsidR="006C3462" w:rsidRPr="007B02DA" w:rsidRDefault="006C3462" w:rsidP="006C3462">
    <w:pPr>
      <w:rPr>
        <w:rFonts w:cs="Calibri"/>
        <w:lang w:val="sr-Cyrl-CS" w:eastAsia="en-GB"/>
      </w:rPr>
    </w:pPr>
    <w:r w:rsidRPr="00D268A8">
      <w:rPr>
        <w:rFonts w:ascii="Arial" w:hAnsi="Arial"/>
        <w:noProof/>
        <w:sz w:val="14"/>
        <w:szCs w:val="14"/>
        <w:lang w:eastAsia="hr-HR"/>
      </w:rPr>
      <w:t xml:space="preserve"> </w:t>
    </w:r>
    <w:r>
      <w:rPr>
        <w:rFonts w:ascii="Arial" w:hAnsi="Arial"/>
        <w:sz w:val="14"/>
        <w:szCs w:val="14"/>
        <w:lang w:val="sv-SE" w:eastAsia="en-GB"/>
      </w:rPr>
      <w:t xml:space="preserve">                                                                                                </w:t>
    </w:r>
    <w:r>
      <w:rPr>
        <w:rFonts w:ascii="Arial" w:hAnsi="Arial"/>
        <w:sz w:val="14"/>
        <w:szCs w:val="14"/>
        <w:lang w:val="sv-SE" w:eastAsia="en-GB"/>
      </w:rPr>
      <w:tab/>
    </w:r>
    <w:r>
      <w:rPr>
        <w:rFonts w:ascii="Arial" w:hAnsi="Arial"/>
        <w:sz w:val="14"/>
        <w:szCs w:val="14"/>
        <w:lang w:val="sv-SE" w:eastAsia="en-GB"/>
      </w:rPr>
      <w:tab/>
      <w:t xml:space="preserve">                                                                                                                                                                                           </w:t>
    </w:r>
  </w:p>
  <w:p w:rsidR="006C3462" w:rsidRPr="00DF71CE" w:rsidRDefault="006C3462" w:rsidP="006C3462">
    <w:pPr>
      <w:rPr>
        <w:rFonts w:ascii="Arial" w:hAnsi="Arial"/>
        <w:sz w:val="14"/>
        <w:szCs w:val="14"/>
        <w:lang w:val="sv-SE" w:eastAsia="en-GB"/>
      </w:rPr>
    </w:pPr>
    <w:r>
      <w:rPr>
        <w:rFonts w:ascii="Arial" w:hAnsi="Arial"/>
        <w:sz w:val="14"/>
        <w:szCs w:val="14"/>
        <w:lang w:val="sv-SE" w:eastAsia="en-GB"/>
      </w:rPr>
      <w:t xml:space="preserve">                                                                                                                                                                                               </w:t>
    </w:r>
  </w:p>
  <w:p w:rsidR="006C3462" w:rsidRPr="00DF71CE" w:rsidRDefault="006C3462" w:rsidP="006C3462">
    <w:pPr>
      <w:jc w:val="center"/>
      <w:rPr>
        <w:rFonts w:ascii="Arial" w:hAnsi="Arial"/>
        <w:sz w:val="14"/>
        <w:szCs w:val="14"/>
        <w:lang w:val="sv-SE" w:eastAsia="en-GB"/>
      </w:rPr>
    </w:pPr>
  </w:p>
  <w:p w:rsidR="006C3462" w:rsidRDefault="006C3462" w:rsidP="006C3462">
    <w:pPr>
      <w:pStyle w:val="Footer"/>
      <w:tabs>
        <w:tab w:val="clear" w:pos="4536"/>
        <w:tab w:val="clear" w:pos="9072"/>
        <w:tab w:val="left" w:pos="531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0A0" w:rsidRDefault="000E00A0">
      <w:r>
        <w:rPr>
          <w:color w:val="000000"/>
        </w:rPr>
        <w:separator/>
      </w:r>
    </w:p>
  </w:footnote>
  <w:footnote w:type="continuationSeparator" w:id="0">
    <w:p w:rsidR="000E00A0" w:rsidRDefault="000E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62" w:rsidRDefault="006C3462" w:rsidP="006C3462">
    <w:pPr>
      <w:pStyle w:val="Header"/>
      <w:tabs>
        <w:tab w:val="clear" w:pos="4536"/>
        <w:tab w:val="clear" w:pos="9072"/>
        <w:tab w:val="left" w:pos="8244"/>
      </w:tabs>
    </w:pPr>
    <w:r>
      <w:rPr>
        <w:noProof/>
        <w:lang w:val="hr-HR"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3688080</wp:posOffset>
          </wp:positionH>
          <wp:positionV relativeFrom="paragraph">
            <wp:posOffset>-251460</wp:posOffset>
          </wp:positionV>
          <wp:extent cx="1569720" cy="725170"/>
          <wp:effectExtent l="0" t="0" r="0" b="0"/>
          <wp:wrapTight wrapText="bothSides">
            <wp:wrapPolygon edited="0">
              <wp:start x="0" y="0"/>
              <wp:lineTo x="0" y="20995"/>
              <wp:lineTo x="21233" y="20995"/>
              <wp:lineTo x="21233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-457200</wp:posOffset>
          </wp:positionV>
          <wp:extent cx="1503045" cy="1267460"/>
          <wp:effectExtent l="0" t="0" r="1905" b="889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1267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6C3462" w:rsidRDefault="006C3462" w:rsidP="006C3462">
    <w:pPr>
      <w:pStyle w:val="Header"/>
      <w:tabs>
        <w:tab w:val="clear" w:pos="4536"/>
        <w:tab w:val="clear" w:pos="9072"/>
        <w:tab w:val="left" w:pos="8244"/>
      </w:tabs>
    </w:pPr>
  </w:p>
  <w:p w:rsidR="006C3462" w:rsidRDefault="006C3462" w:rsidP="006C3462">
    <w:pPr>
      <w:pStyle w:val="Header"/>
      <w:tabs>
        <w:tab w:val="clear" w:pos="4536"/>
        <w:tab w:val="clear" w:pos="9072"/>
        <w:tab w:val="left" w:pos="8244"/>
      </w:tabs>
    </w:pPr>
  </w:p>
  <w:p w:rsidR="006C3462" w:rsidRDefault="006C3462" w:rsidP="006C3462">
    <w:pPr>
      <w:pStyle w:val="Header"/>
      <w:tabs>
        <w:tab w:val="clear" w:pos="4536"/>
        <w:tab w:val="clear" w:pos="9072"/>
        <w:tab w:val="left" w:pos="8244"/>
      </w:tabs>
    </w:pPr>
  </w:p>
  <w:p w:rsidR="006C3462" w:rsidRDefault="006C34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35A3E"/>
    <w:rsid w:val="00072E77"/>
    <w:rsid w:val="000A080E"/>
    <w:rsid w:val="000E00A0"/>
    <w:rsid w:val="00135A3E"/>
    <w:rsid w:val="00246162"/>
    <w:rsid w:val="00276C4B"/>
    <w:rsid w:val="003C39DF"/>
    <w:rsid w:val="003F22E3"/>
    <w:rsid w:val="004248AA"/>
    <w:rsid w:val="004653B7"/>
    <w:rsid w:val="005A3DE9"/>
    <w:rsid w:val="005C18AA"/>
    <w:rsid w:val="006C3462"/>
    <w:rsid w:val="00707F63"/>
    <w:rsid w:val="008412A7"/>
    <w:rsid w:val="00842871"/>
    <w:rsid w:val="00996109"/>
    <w:rsid w:val="009A4643"/>
    <w:rsid w:val="009D05C5"/>
    <w:rsid w:val="00A17281"/>
    <w:rsid w:val="00DA0999"/>
    <w:rsid w:val="00E9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462"/>
    <w:rPr>
      <w:rFonts w:ascii="Times New Roman" w:eastAsia="Times New Roman" w:hAnsi="Times New Roman"/>
      <w:sz w:val="24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6C3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462"/>
    <w:rPr>
      <w:rFonts w:ascii="Times New Roman" w:eastAsia="Times New Roman" w:hAnsi="Times New Roman"/>
      <w:sz w:val="24"/>
      <w:szCs w:val="24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Bakula</dc:creator>
  <cp:lastModifiedBy>Korisnik</cp:lastModifiedBy>
  <cp:revision>2</cp:revision>
  <dcterms:created xsi:type="dcterms:W3CDTF">2022-04-29T07:34:00Z</dcterms:created>
  <dcterms:modified xsi:type="dcterms:W3CDTF">2022-04-29T07:34:00Z</dcterms:modified>
</cp:coreProperties>
</file>